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廊坊市大厂回族自治县委宣传部</w:t>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2017年部门预算信息公开</w:t>
      </w:r>
    </w:p>
    <w:p>
      <w:pPr>
        <w:spacing w:line="560" w:lineRule="exact"/>
        <w:ind w:firstLine="880" w:firstLineChars="200"/>
        <w:jc w:val="center"/>
        <w:rPr>
          <w:rFonts w:ascii="方正小标宋简体" w:hAnsi="方正小标宋简体" w:eastAsia="方正小标宋简体" w:cs="方正小标宋简体"/>
          <w:sz w:val="44"/>
          <w:szCs w:val="44"/>
        </w:rPr>
      </w:pPr>
    </w:p>
    <w:p>
      <w:pPr>
        <w:spacing w:line="560" w:lineRule="exact"/>
        <w:ind w:firstLine="640"/>
        <w:rPr>
          <w:rFonts w:ascii="仿宋" w:hAnsi="仿宋" w:eastAsia="仿宋"/>
          <w:sz w:val="32"/>
          <w:szCs w:val="32"/>
        </w:rPr>
      </w:pPr>
      <w:r>
        <w:rPr>
          <w:rFonts w:hint="eastAsia" w:ascii="仿宋" w:hAnsi="仿宋" w:eastAsia="仿宋"/>
          <w:sz w:val="32"/>
          <w:szCs w:val="32"/>
        </w:rPr>
        <w:t>按照《预算法》、《地方预决算公开操作规程》和《河北省省级预算公开办法》规定，现将廊坊市大厂回族自治县委宣传部</w:t>
      </w:r>
      <w:r>
        <w:rPr>
          <w:rFonts w:ascii="仿宋" w:hAnsi="仿宋" w:eastAsia="仿宋"/>
          <w:sz w:val="32"/>
          <w:szCs w:val="32"/>
        </w:rPr>
        <w:t>2017</w:t>
      </w:r>
      <w:r>
        <w:rPr>
          <w:rFonts w:hint="eastAsia" w:ascii="仿宋" w:hAnsi="仿宋" w:eastAsia="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部门职责</w:t>
      </w:r>
    </w:p>
    <w:p>
      <w:pPr>
        <w:spacing w:line="560" w:lineRule="exact"/>
        <w:ind w:firstLine="640"/>
        <w:rPr>
          <w:rFonts w:ascii="仿宋" w:hAnsi="仿宋" w:eastAsia="仿宋"/>
          <w:sz w:val="32"/>
          <w:szCs w:val="32"/>
        </w:rPr>
      </w:pPr>
      <w:r>
        <w:rPr>
          <w:rFonts w:hint="eastAsia" w:ascii="仿宋" w:hAnsi="仿宋" w:eastAsia="仿宋"/>
          <w:sz w:val="32"/>
          <w:szCs w:val="32"/>
        </w:rPr>
        <w:t>县委宣传部是县委在意识形态方面的综合职能部门，主要职责是：围绕县委的中心工作和上级党委宣传部门的工作部署，结合全县的实际情况，制定并组织实施全县开展宣传工作的计划，努力搞好经济建设和改革开放的宣传，组织开展理论教育，理论宣传和理论研究，加强党的思想建设和理论建设，及时提出加强和改进思想政治工作的意见、建议和措施，总结推广三个文明建设中涌现出来的先进典型，协助县委加强对新闻、广播、文化、社会科学等部门的领导，用社会主义思想占领意识形态领域的阵地。</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4" w:hRule="atLeast"/>
          <w:jc w:val="center"/>
        </w:trPr>
        <w:tc>
          <w:tcPr>
            <w:tcW w:w="4443" w:type="dxa"/>
            <w:vAlign w:val="center"/>
          </w:tcPr>
          <w:p>
            <w:pPr>
              <w:spacing w:line="300" w:lineRule="exact"/>
              <w:jc w:val="left"/>
              <w:rPr>
                <w:rFonts w:ascii="仿宋" w:hAnsi="仿宋" w:eastAsia="仿宋"/>
                <w:sz w:val="32"/>
                <w:szCs w:val="32"/>
              </w:rPr>
            </w:pPr>
            <w:r>
              <w:rPr>
                <w:rFonts w:hint="eastAsia" w:ascii="仿宋" w:hAnsi="仿宋" w:eastAsia="仿宋"/>
                <w:sz w:val="32"/>
                <w:szCs w:val="32"/>
              </w:rPr>
              <w:t>中共大厂回族自治县委宣传部</w:t>
            </w:r>
          </w:p>
        </w:tc>
        <w:tc>
          <w:tcPr>
            <w:tcW w:w="1134" w:type="dxa"/>
            <w:vAlign w:val="center"/>
          </w:tcPr>
          <w:p>
            <w:pPr>
              <w:spacing w:line="300" w:lineRule="exact"/>
              <w:jc w:val="left"/>
              <w:rPr>
                <w:rFonts w:ascii="仿宋" w:hAnsi="仿宋" w:eastAsia="仿宋"/>
                <w:sz w:val="32"/>
                <w:szCs w:val="32"/>
              </w:rPr>
            </w:pPr>
            <w:r>
              <w:rPr>
                <w:rFonts w:hint="eastAsia" w:ascii="仿宋" w:hAnsi="仿宋" w:eastAsia="仿宋"/>
                <w:sz w:val="32"/>
                <w:szCs w:val="32"/>
              </w:rPr>
              <w:t>行政</w:t>
            </w:r>
          </w:p>
        </w:tc>
        <w:tc>
          <w:tcPr>
            <w:tcW w:w="1276" w:type="dxa"/>
            <w:vAlign w:val="center"/>
          </w:tcPr>
          <w:p>
            <w:pPr>
              <w:spacing w:line="300" w:lineRule="exact"/>
              <w:jc w:val="left"/>
              <w:rPr>
                <w:rFonts w:ascii="仿宋" w:hAnsi="仿宋" w:eastAsia="仿宋"/>
                <w:sz w:val="32"/>
                <w:szCs w:val="32"/>
              </w:rPr>
            </w:pPr>
            <w:r>
              <w:rPr>
                <w:rFonts w:hint="eastAsia" w:ascii="仿宋" w:hAnsi="仿宋" w:eastAsia="仿宋"/>
                <w:sz w:val="32"/>
                <w:szCs w:val="32"/>
              </w:rPr>
              <w:t>科级</w:t>
            </w:r>
          </w:p>
        </w:tc>
        <w:tc>
          <w:tcPr>
            <w:tcW w:w="2902" w:type="dxa"/>
            <w:vAlign w:val="center"/>
          </w:tcPr>
          <w:p>
            <w:pPr>
              <w:spacing w:line="300" w:lineRule="exact"/>
              <w:jc w:val="left"/>
              <w:rPr>
                <w:rFonts w:ascii="仿宋" w:hAnsi="仿宋" w:eastAsia="仿宋"/>
                <w:sz w:val="32"/>
                <w:szCs w:val="32"/>
              </w:rPr>
            </w:pPr>
            <w:r>
              <w:rPr>
                <w:rFonts w:hint="eastAsia" w:ascii="仿宋" w:hAnsi="仿宋" w:eastAsia="仿宋"/>
                <w:sz w:val="32"/>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
      <w:pPr>
        <w:tabs>
          <w:tab w:val="left" w:pos="574"/>
        </w:tabs>
        <w:ind w:firstLine="64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w:t>
      </w:r>
      <w:r>
        <w:rPr>
          <w:rFonts w:ascii="仿宋" w:hAnsi="仿宋" w:eastAsia="仿宋"/>
          <w:sz w:val="32"/>
          <w:szCs w:val="32"/>
        </w:rPr>
        <w:t>我部门全部收支包含在部门预算中</w:t>
      </w:r>
      <w:r>
        <w:rPr>
          <w:rFonts w:hint="eastAsia" w:ascii="仿宋" w:hAnsi="仿宋" w:eastAsia="仿宋"/>
          <w:sz w:val="32"/>
          <w:szCs w:val="32"/>
        </w:rPr>
        <w:t>。</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1、收入说明</w:t>
      </w:r>
    </w:p>
    <w:p>
      <w:pPr>
        <w:spacing w:line="560"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年度预算收入</w:t>
      </w:r>
      <w:r>
        <w:rPr>
          <w:rFonts w:ascii="仿宋" w:hAnsi="仿宋" w:eastAsia="仿宋"/>
          <w:sz w:val="32"/>
          <w:szCs w:val="32"/>
        </w:rPr>
        <w:t>1053.90</w:t>
      </w:r>
      <w:r>
        <w:rPr>
          <w:rFonts w:hint="eastAsia" w:ascii="仿宋" w:hAnsi="仿宋" w:eastAsia="仿宋"/>
          <w:sz w:val="32"/>
          <w:szCs w:val="32"/>
        </w:rPr>
        <w:t>万元，其中：一般公共预算收入</w:t>
      </w:r>
      <w:r>
        <w:rPr>
          <w:rFonts w:ascii="仿宋" w:hAnsi="仿宋" w:eastAsia="仿宋"/>
          <w:sz w:val="32"/>
          <w:szCs w:val="32"/>
        </w:rPr>
        <w:t>1053.90</w:t>
      </w:r>
      <w:r>
        <w:rPr>
          <w:rFonts w:hint="eastAsia" w:ascii="仿宋" w:hAnsi="仿宋" w:eastAsia="仿宋"/>
          <w:sz w:val="32"/>
          <w:szCs w:val="32"/>
        </w:rPr>
        <w:t>万元，政府性基金收入</w:t>
      </w:r>
      <w:r>
        <w:rPr>
          <w:rFonts w:ascii="仿宋" w:hAnsi="仿宋" w:eastAsia="仿宋"/>
          <w:sz w:val="32"/>
          <w:szCs w:val="32"/>
        </w:rPr>
        <w:t>0</w:t>
      </w:r>
      <w:r>
        <w:rPr>
          <w:rFonts w:hint="eastAsia" w:ascii="仿宋" w:hAnsi="仿宋" w:eastAsia="仿宋"/>
          <w:sz w:val="32"/>
          <w:szCs w:val="32"/>
        </w:rPr>
        <w:t>万元，国有资本经营收入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2、支出说明</w:t>
      </w:r>
    </w:p>
    <w:p>
      <w:pPr>
        <w:spacing w:line="560"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年度支出预算</w:t>
      </w:r>
      <w:r>
        <w:rPr>
          <w:rFonts w:ascii="仿宋" w:hAnsi="仿宋" w:eastAsia="仿宋"/>
          <w:sz w:val="32"/>
          <w:szCs w:val="32"/>
        </w:rPr>
        <w:t>1053.90</w:t>
      </w:r>
      <w:r>
        <w:rPr>
          <w:rFonts w:hint="eastAsia" w:ascii="仿宋" w:hAnsi="仿宋" w:eastAsia="仿宋"/>
          <w:sz w:val="32"/>
          <w:szCs w:val="32"/>
        </w:rPr>
        <w:t>万元，其中基本支出</w:t>
      </w:r>
      <w:r>
        <w:rPr>
          <w:rFonts w:ascii="仿宋" w:hAnsi="仿宋" w:eastAsia="仿宋"/>
          <w:sz w:val="32"/>
          <w:szCs w:val="32"/>
        </w:rPr>
        <w:t>323.37</w:t>
      </w:r>
      <w:r>
        <w:rPr>
          <w:rFonts w:hint="eastAsia" w:ascii="仿宋" w:hAnsi="仿宋" w:eastAsia="仿宋"/>
          <w:sz w:val="32"/>
          <w:szCs w:val="32"/>
        </w:rPr>
        <w:t>万元，包括人员经费和日常公用经费；项目支出</w:t>
      </w:r>
      <w:r>
        <w:rPr>
          <w:rFonts w:ascii="仿宋" w:hAnsi="仿宋" w:eastAsia="仿宋"/>
          <w:sz w:val="32"/>
          <w:szCs w:val="32"/>
        </w:rPr>
        <w:t>730.53</w:t>
      </w:r>
      <w:r>
        <w:rPr>
          <w:rFonts w:hint="eastAsia" w:ascii="仿宋" w:hAnsi="仿宋" w:eastAsia="仿宋"/>
          <w:sz w:val="32"/>
          <w:szCs w:val="32"/>
        </w:rPr>
        <w:t>万元，主要为创建省级文明县城、道德养生馆项目等。</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3、比上年增减变化情况</w:t>
      </w:r>
    </w:p>
    <w:p>
      <w:pPr>
        <w:spacing w:line="560"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年度预算收支安排</w:t>
      </w:r>
      <w:r>
        <w:rPr>
          <w:rFonts w:ascii="仿宋" w:hAnsi="仿宋" w:eastAsia="仿宋"/>
          <w:sz w:val="32"/>
          <w:szCs w:val="32"/>
        </w:rPr>
        <w:t>1053.90</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年预算增加</w:t>
      </w:r>
      <w:r>
        <w:rPr>
          <w:rFonts w:ascii="仿宋" w:hAnsi="仿宋" w:eastAsia="仿宋"/>
          <w:sz w:val="32"/>
          <w:szCs w:val="32"/>
        </w:rPr>
        <w:t>535.09</w:t>
      </w:r>
      <w:r>
        <w:rPr>
          <w:rFonts w:hint="eastAsia" w:ascii="仿宋" w:hAnsi="仿宋" w:eastAsia="仿宋"/>
          <w:sz w:val="32"/>
          <w:szCs w:val="32"/>
        </w:rPr>
        <w:t>万元，其中：基本支出增加</w:t>
      </w:r>
      <w:r>
        <w:rPr>
          <w:rFonts w:ascii="仿宋" w:hAnsi="仿宋" w:eastAsia="仿宋"/>
          <w:sz w:val="32"/>
          <w:szCs w:val="32"/>
        </w:rPr>
        <w:t>29.13</w:t>
      </w:r>
      <w:r>
        <w:rPr>
          <w:rFonts w:hint="eastAsia" w:ascii="仿宋" w:hAnsi="仿宋" w:eastAsia="仿宋"/>
          <w:sz w:val="32"/>
          <w:szCs w:val="32"/>
        </w:rPr>
        <w:t>万元，主要为增加人员经费支出；项目支出增加</w:t>
      </w:r>
      <w:r>
        <w:rPr>
          <w:rFonts w:ascii="仿宋" w:hAnsi="仿宋" w:eastAsia="仿宋"/>
          <w:sz w:val="32"/>
          <w:szCs w:val="32"/>
        </w:rPr>
        <w:t>505.96</w:t>
      </w:r>
      <w:r>
        <w:rPr>
          <w:rFonts w:hint="eastAsia" w:ascii="仿宋" w:hAnsi="仿宋" w:eastAsia="仿宋"/>
          <w:sz w:val="32"/>
          <w:szCs w:val="32"/>
        </w:rPr>
        <w:t>万元，主要为创建省级文明县城、道德养生馆项目支出。</w:t>
      </w:r>
    </w:p>
    <w:p>
      <w:pPr>
        <w:ind w:firstLine="640"/>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firstLine="640" w:firstLineChars="200"/>
        <w:jc w:val="left"/>
        <w:rPr>
          <w:rFonts w:ascii="仿宋" w:hAnsi="仿宋" w:eastAsia="仿宋"/>
          <w:sz w:val="32"/>
          <w:szCs w:val="32"/>
        </w:rPr>
      </w:pPr>
      <w:r>
        <w:rPr>
          <w:rFonts w:hint="eastAsia" w:ascii="仿宋" w:hAnsi="仿宋" w:eastAsia="仿宋"/>
          <w:sz w:val="32"/>
          <w:szCs w:val="32"/>
        </w:rPr>
        <w:t>机关运行经费共计安排</w:t>
      </w:r>
      <w:r>
        <w:rPr>
          <w:rFonts w:ascii="仿宋" w:hAnsi="仿宋" w:eastAsia="仿宋"/>
          <w:sz w:val="32"/>
          <w:szCs w:val="32"/>
        </w:rPr>
        <w:t>22.80</w:t>
      </w:r>
      <w:r>
        <w:rPr>
          <w:rFonts w:hint="eastAsia" w:ascii="仿宋" w:hAnsi="仿宋" w:eastAsia="仿宋"/>
          <w:sz w:val="32"/>
          <w:szCs w:val="32"/>
        </w:rPr>
        <w:t>万元，主要用于办公区的日常维修、办公用房水电费、办公用房取暖费、办公用房物业管理费等日常运行支出。</w:t>
      </w:r>
    </w:p>
    <w:p>
      <w:pPr>
        <w:ind w:firstLine="640"/>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560" w:lineRule="exact"/>
        <w:ind w:firstLine="64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年度，我单位“三公”经费预算安排</w:t>
      </w:r>
      <w:r>
        <w:rPr>
          <w:rFonts w:ascii="仿宋" w:hAnsi="仿宋" w:eastAsia="仿宋"/>
          <w:sz w:val="32"/>
          <w:szCs w:val="32"/>
        </w:rPr>
        <w:t>3</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万元；公务用车购置及运维费</w:t>
      </w:r>
      <w:r>
        <w:rPr>
          <w:rFonts w:ascii="仿宋" w:hAnsi="仿宋" w:eastAsia="仿宋"/>
          <w:sz w:val="32"/>
          <w:szCs w:val="32"/>
        </w:rPr>
        <w:t>3</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，公务用车运行费</w:t>
      </w:r>
      <w:r>
        <w:rPr>
          <w:rFonts w:ascii="仿宋" w:hAnsi="仿宋" w:eastAsia="仿宋"/>
          <w:sz w:val="32"/>
          <w:szCs w:val="32"/>
        </w:rPr>
        <w:t>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0</w:t>
      </w:r>
      <w:r>
        <w:rPr>
          <w:rFonts w:hint="eastAsia" w:ascii="仿宋" w:hAnsi="仿宋" w:eastAsia="仿宋"/>
          <w:sz w:val="32"/>
          <w:szCs w:val="32"/>
        </w:rPr>
        <w:t>万元。比</w:t>
      </w:r>
      <w:r>
        <w:rPr>
          <w:rFonts w:ascii="仿宋" w:hAnsi="仿宋" w:eastAsia="仿宋"/>
          <w:sz w:val="32"/>
          <w:szCs w:val="32"/>
        </w:rPr>
        <w:t>2016</w:t>
      </w:r>
      <w:r>
        <w:rPr>
          <w:rFonts w:hint="eastAsia" w:ascii="仿宋" w:hAnsi="仿宋" w:eastAsia="仿宋"/>
          <w:sz w:val="32"/>
          <w:szCs w:val="32"/>
        </w:rPr>
        <w:t>年减少</w:t>
      </w:r>
      <w:r>
        <w:rPr>
          <w:rFonts w:ascii="仿宋" w:hAnsi="仿宋" w:eastAsia="仿宋"/>
          <w:sz w:val="32"/>
          <w:szCs w:val="32"/>
        </w:rPr>
        <w:t>6.24</w:t>
      </w:r>
      <w:r>
        <w:rPr>
          <w:rFonts w:hint="eastAsia" w:ascii="仿宋" w:hAnsi="仿宋" w:eastAsia="仿宋"/>
          <w:sz w:val="32"/>
          <w:szCs w:val="32"/>
        </w:rPr>
        <w:t>万元，主要原因是全县公务用车改革，我单位由四部公务车减少到两部。</w:t>
      </w:r>
    </w:p>
    <w:p>
      <w:pPr>
        <w:ind w:firstLine="640"/>
        <w:rPr>
          <w:rFonts w:ascii="黑体" w:hAnsi="黑体" w:eastAsia="黑体"/>
          <w:sz w:val="32"/>
          <w:szCs w:val="32"/>
        </w:rPr>
      </w:pPr>
      <w:r>
        <w:rPr>
          <w:rFonts w:hint="eastAsia" w:ascii="黑体" w:hAnsi="黑体" w:eastAsia="黑体"/>
          <w:sz w:val="32"/>
          <w:szCs w:val="32"/>
        </w:rPr>
        <w:t>五、绩效预算信息</w:t>
      </w:r>
    </w:p>
    <w:p>
      <w:pPr>
        <w:spacing w:line="560" w:lineRule="exact"/>
        <w:ind w:firstLine="640"/>
        <w:rPr>
          <w:rFonts w:ascii="楷体_GB2312" w:hAnsi="楷体_GB2312" w:eastAsia="楷体_GB2312" w:cs="楷体_GB2312"/>
          <w:b/>
          <w:sz w:val="32"/>
          <w:szCs w:val="32"/>
        </w:rPr>
      </w:pPr>
      <w:bookmarkStart w:id="0" w:name="_Toc471398463"/>
      <w:r>
        <w:rPr>
          <w:rFonts w:hint="eastAsia" w:ascii="楷体" w:hAnsi="楷体" w:eastAsia="楷体" w:cs="楷体"/>
          <w:b/>
          <w:bCs/>
          <w:sz w:val="32"/>
          <w:szCs w:val="32"/>
        </w:rPr>
        <w:t>总体绩效目标：</w:t>
      </w:r>
    </w:p>
    <w:p>
      <w:pPr>
        <w:spacing w:line="560" w:lineRule="exact"/>
        <w:ind w:firstLine="640"/>
        <w:rPr>
          <w:rFonts w:ascii="楷体" w:hAnsi="楷体" w:eastAsia="楷体"/>
          <w:b/>
          <w:sz w:val="32"/>
          <w:szCs w:val="32"/>
        </w:rPr>
      </w:pP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部门职责及工作活动绩效目标指标：</w:t>
      </w:r>
    </w:p>
    <w:p>
      <w:pPr>
        <w:jc w:val="center"/>
        <w:outlineLvl w:val="0"/>
        <w:rPr>
          <w:rFonts w:ascii="方正小标宋_GBK" w:hAnsi="Times New Roman" w:eastAsia="方正小标宋_GBK"/>
          <w:sz w:val="32"/>
          <w:szCs w:val="24"/>
        </w:rPr>
      </w:pPr>
    </w:p>
    <w:p>
      <w:pPr>
        <w:jc w:val="center"/>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部门职责-工作活动绩效目标</w:t>
      </w:r>
      <w:bookmarkEnd w:id="0"/>
    </w:p>
    <w:tbl>
      <w:tblPr>
        <w:tblStyle w:val="8"/>
        <w:tblW w:w="15639" w:type="dxa"/>
        <w:jc w:val="center"/>
        <w:tblInd w:w="-1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3"/>
        <w:gridCol w:w="1276"/>
        <w:gridCol w:w="2976"/>
        <w:gridCol w:w="2976"/>
        <w:gridCol w:w="1417"/>
        <w:gridCol w:w="737"/>
        <w:gridCol w:w="737"/>
        <w:gridCol w:w="737"/>
        <w:gridCol w:w="24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98"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r>
              <w:rPr>
                <w:rFonts w:hint="eastAsia" w:ascii="宋体" w:hAnsi="宋体" w:cs="宋体"/>
                <w:sz w:val="18"/>
                <w:szCs w:val="18"/>
              </w:rPr>
              <w:t>廊坊市中共大厂回族自治县委宣传部</w:t>
            </w:r>
          </w:p>
        </w:tc>
        <w:tc>
          <w:tcPr>
            <w:tcW w:w="4641"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hAnsi="Times New Roman"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53"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职责活动</w:t>
            </w:r>
          </w:p>
        </w:tc>
        <w:tc>
          <w:tcPr>
            <w:tcW w:w="12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年度预算数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内容描述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绩效目标</w:t>
            </w:r>
          </w:p>
        </w:tc>
        <w:tc>
          <w:tcPr>
            <w:tcW w:w="1417"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绩效指标</w:t>
            </w:r>
          </w:p>
        </w:tc>
        <w:tc>
          <w:tcPr>
            <w:tcW w:w="4641" w:type="dxa"/>
            <w:gridSpan w:val="4"/>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53" w:type="dxa"/>
            <w:vMerge w:val="continue"/>
            <w:vAlign w:val="center"/>
          </w:tcPr>
          <w:p>
            <w:pPr>
              <w:spacing w:line="300" w:lineRule="exact"/>
              <w:jc w:val="left"/>
              <w:outlineLvl w:val="0"/>
              <w:rPr>
                <w:rFonts w:ascii="Times New Roman" w:hAnsi="Times New Roman"/>
                <w:sz w:val="18"/>
                <w:szCs w:val="18"/>
              </w:rPr>
            </w:pPr>
          </w:p>
        </w:tc>
        <w:tc>
          <w:tcPr>
            <w:tcW w:w="12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1417" w:type="dxa"/>
            <w:vMerge w:val="continue"/>
            <w:vAlign w:val="center"/>
          </w:tcPr>
          <w:p>
            <w:pPr>
              <w:spacing w:line="300" w:lineRule="exact"/>
              <w:jc w:val="left"/>
              <w:outlineLvl w:val="0"/>
              <w:rPr>
                <w:rFonts w:ascii="Times New Roman" w:hAnsi="Times New Roman"/>
                <w:sz w:val="18"/>
                <w:szCs w:val="18"/>
              </w:rPr>
            </w:pP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优</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良</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中</w:t>
            </w:r>
          </w:p>
        </w:tc>
        <w:tc>
          <w:tcPr>
            <w:tcW w:w="2430"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Align w:val="center"/>
          </w:tcPr>
          <w:p>
            <w:pPr>
              <w:spacing w:line="300" w:lineRule="exact"/>
              <w:jc w:val="left"/>
              <w:rPr>
                <w:rFonts w:ascii="方正书宋_GBK" w:eastAsia="方正书宋_GBK"/>
                <w:b/>
              </w:rPr>
            </w:pPr>
            <w:r>
              <w:rPr>
                <w:rFonts w:hint="eastAsia" w:ascii="方正书宋_GBK" w:eastAsia="方正书宋_GBK"/>
                <w:b/>
              </w:rPr>
              <w:t>宣传思想工作</w:t>
            </w:r>
          </w:p>
        </w:tc>
        <w:tc>
          <w:tcPr>
            <w:tcW w:w="1276" w:type="dxa"/>
            <w:vAlign w:val="center"/>
          </w:tcPr>
          <w:p>
            <w:pPr>
              <w:spacing w:line="300" w:lineRule="exact"/>
              <w:jc w:val="left"/>
              <w:rPr>
                <w:rFonts w:ascii="方正书宋_GBK" w:eastAsia="方正书宋_GBK"/>
              </w:rPr>
            </w:pPr>
            <w:r>
              <w:rPr>
                <w:rFonts w:ascii="方正书宋_GBK" w:eastAsia="方正书宋_GBK"/>
              </w:rPr>
              <w:t>372.00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全县理论研究、理论学习、理论宣传工作；宏观指导精神产品创作生产；规划组织思想政治工作；指导协调宣传思想文化事业和外宣事业发展；加强舆论舆情引导管理；宏观指导协调互联网宣传和信息内容管理；加强精神文明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牢牢掌握意识形态工作领导权、管理权、话语权，弘扬主旋律，汇聚正能量，为河北经济社会发展提供有力的思想保证、精神动力、舆论支持。</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2430" w:type="dxa"/>
            <w:vAlign w:val="center"/>
          </w:tcPr>
          <w:p>
            <w:pPr>
              <w:spacing w:line="300" w:lineRule="exact"/>
              <w:jc w:val="center"/>
              <w:rPr>
                <w:rFonts w:ascii="Times New Roman"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restart"/>
            <w:vAlign w:val="center"/>
          </w:tcPr>
          <w:p>
            <w:pPr>
              <w:spacing w:line="300" w:lineRule="exact"/>
              <w:jc w:val="left"/>
              <w:rPr>
                <w:rFonts w:ascii="方正书宋_GBK" w:eastAsia="方正书宋_GBK"/>
                <w:b/>
              </w:rPr>
            </w:pPr>
            <w:r>
              <w:rPr>
                <w:rFonts w:hint="eastAsia" w:ascii="方正书宋_GBK" w:eastAsia="方正书宋_GBK"/>
                <w:b/>
              </w:rPr>
              <w:t>思想理论建设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深入实施马克思主义理论研究和建设工程，深化中国特色社会主义和中国梦研究；深入学习宣传习近平总书记系列重要讲话；加强全市社科基金管理；广泛开展理论宣传活动。</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提升理论研究水平，为全县经济社会发展提供理论支持；提高干部群众运用科学理论解决实际问题能力；增强广大干部群众理论自信、道路自信、制度自信，不断巩固全县人民团结奋斗的共同思想基础。</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在报纸、电台、电视台、网络等新闻媒体开办理论宣传专栏数量</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b/>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理论研究课题成果数量</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党员干部学习总书记系列重要讲话精神成果</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思想政治工作</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hAnsi="Times New Roman" w:eastAsia="方正书宋_GBK"/>
                <w:sz w:val="18"/>
                <w:szCs w:val="18"/>
              </w:rPr>
              <w:t>37</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部署思想政治工作任务，践行社会主义核心价值观，宣传推广全市性先进典型，加强爱国主义教育基地建设和全民国防教育，加强基层党员教育，组织开展系列宣传教育活动。</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完成思想政治工作重大任务，推进社会主义核心价值观落地生根。</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组织开展主题宣传教育活动（次）</w:t>
            </w:r>
          </w:p>
        </w:tc>
        <w:tc>
          <w:tcPr>
            <w:tcW w:w="737" w:type="dxa"/>
            <w:vAlign w:val="center"/>
          </w:tcPr>
          <w:p>
            <w:pPr>
              <w:spacing w:line="300" w:lineRule="exact"/>
              <w:jc w:val="center"/>
              <w:rPr>
                <w:rFonts w:ascii="方正书宋_GBK" w:eastAsia="方正书宋_GBK"/>
              </w:rPr>
            </w:pP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1</w:t>
            </w:r>
          </w:p>
        </w:tc>
        <w:tc>
          <w:tcPr>
            <w:tcW w:w="2430" w:type="dxa"/>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爱国主义教育基地参观学习人数（万人）</w:t>
            </w:r>
          </w:p>
        </w:tc>
        <w:tc>
          <w:tcPr>
            <w:tcW w:w="737" w:type="dxa"/>
            <w:vAlign w:val="center"/>
          </w:tcPr>
          <w:p>
            <w:pPr>
              <w:spacing w:line="300" w:lineRule="exact"/>
              <w:jc w:val="center"/>
              <w:rPr>
                <w:rFonts w:ascii="方正书宋_GBK" w:eastAsia="方正书宋_GBK"/>
              </w:rPr>
            </w:pPr>
            <w:r>
              <w:rPr>
                <w:rFonts w:ascii="方正书宋_GBK" w:eastAsia="方正书宋_GBK"/>
              </w:rPr>
              <w:t>0.05</w:t>
            </w:r>
          </w:p>
        </w:tc>
        <w:tc>
          <w:tcPr>
            <w:tcW w:w="737" w:type="dxa"/>
            <w:vAlign w:val="center"/>
          </w:tcPr>
          <w:p>
            <w:pPr>
              <w:spacing w:line="300" w:lineRule="exact"/>
              <w:jc w:val="center"/>
              <w:rPr>
                <w:rFonts w:ascii="方正书宋_GBK" w:eastAsia="方正书宋_GBK"/>
              </w:rPr>
            </w:pPr>
            <w:r>
              <w:rPr>
                <w:rFonts w:ascii="方正书宋_GBK" w:eastAsia="方正书宋_GBK"/>
              </w:rPr>
              <w:t>0.03</w:t>
            </w:r>
          </w:p>
        </w:tc>
        <w:tc>
          <w:tcPr>
            <w:tcW w:w="737" w:type="dxa"/>
            <w:vAlign w:val="center"/>
          </w:tcPr>
          <w:p>
            <w:pPr>
              <w:spacing w:line="300" w:lineRule="exact"/>
              <w:jc w:val="center"/>
              <w:rPr>
                <w:rFonts w:ascii="方正书宋_GBK" w:eastAsia="方正书宋_GBK"/>
              </w:rPr>
            </w:pPr>
            <w:r>
              <w:rPr>
                <w:rFonts w:ascii="方正书宋_GBK" w:eastAsia="方正书宋_GBK"/>
              </w:rPr>
              <w:t>0.02</w:t>
            </w:r>
          </w:p>
        </w:tc>
        <w:tc>
          <w:tcPr>
            <w:tcW w:w="2430" w:type="dxa"/>
            <w:vAlign w:val="center"/>
          </w:tcPr>
          <w:p>
            <w:pPr>
              <w:spacing w:line="300" w:lineRule="exact"/>
              <w:jc w:val="center"/>
              <w:rPr>
                <w:rFonts w:ascii="方正书宋_GBK" w:eastAsia="方正书宋_GBK"/>
              </w:rPr>
            </w:pPr>
            <w:r>
              <w:rPr>
                <w:rFonts w:ascii="方正书宋_GBK" w:eastAsia="方正书宋_GBK"/>
              </w:rPr>
              <w:t>0.02</w:t>
            </w:r>
            <w:r>
              <w:rPr>
                <w:rFonts w:hint="eastAsia" w:ascii="方正书宋_GBK" w:eastAsia="方正书宋_GBK"/>
              </w:rPr>
              <w:t>万人以下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社会主义核心价值观内容在全社会普及率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80-905</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2430"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对外宣传事业</w:t>
            </w:r>
          </w:p>
        </w:tc>
        <w:tc>
          <w:tcPr>
            <w:tcW w:w="1276" w:type="dxa"/>
            <w:vMerge w:val="restart"/>
            <w:vAlign w:val="center"/>
          </w:tcPr>
          <w:p>
            <w:pPr>
              <w:spacing w:line="300" w:lineRule="exact"/>
              <w:jc w:val="left"/>
              <w:rPr>
                <w:rFonts w:ascii="方正书宋_GBK" w:hAnsi="Times New Roman" w:eastAsia="方正书宋_GBK"/>
                <w:sz w:val="18"/>
                <w:szCs w:val="18"/>
              </w:rPr>
            </w:pP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制订对外宣传事业发展规划，加强和改进新闻发布工作，扩大对外宣传，深化河北与国内外的文化交流合作，开展多种形式的文化交流活动。</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充分展示我县良好形象，不断提高我县知名度、美誉度。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组织媒体来采访、宣传（次）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组织召开系列主题新闻发布会（场）</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组织举办县内外文化交流活动（次）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2430" w:type="dxa"/>
            <w:vAlign w:val="center"/>
          </w:tcPr>
          <w:p>
            <w:pPr>
              <w:spacing w:line="300" w:lineRule="exact"/>
              <w:jc w:val="center"/>
              <w:rPr>
                <w:rFonts w:ascii="Times New Roman"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舆情信息收集、分析、上报数量</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互联网宣传和信息内容管理</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hAnsi="Times New Roman" w:eastAsia="方正书宋_GBK"/>
                <w:sz w:val="18"/>
                <w:szCs w:val="18"/>
              </w:rPr>
              <w:t>20</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加强网络安全和信息化工作，加强互联网宣传和信息内容管理，加强网络文化建设。</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完善互联网管理领导体制，加强网上舆论引导，营造良好网络舆论氛围，发展健康向上网络文化。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组织开展网络宣传活动（次）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重大舆情监测覆盖率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互联网重大突发事件应急处置率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restart"/>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精神文明建设</w:t>
            </w:r>
          </w:p>
        </w:tc>
        <w:tc>
          <w:tcPr>
            <w:tcW w:w="1276" w:type="dxa"/>
            <w:vMerge w:val="restart"/>
            <w:vAlign w:val="center"/>
          </w:tcPr>
          <w:p>
            <w:pPr>
              <w:spacing w:line="300" w:lineRule="exact"/>
              <w:jc w:val="left"/>
              <w:rPr>
                <w:rFonts w:ascii="方正书宋_GBK" w:hAnsi="Times New Roman" w:eastAsia="方正书宋_GBK"/>
                <w:sz w:val="18"/>
                <w:szCs w:val="18"/>
              </w:rPr>
            </w:pPr>
            <w:r>
              <w:rPr>
                <w:rFonts w:ascii="方正书宋_GBK" w:hAnsi="Times New Roman" w:eastAsia="方正书宋_GBK"/>
                <w:sz w:val="18"/>
                <w:szCs w:val="18"/>
              </w:rPr>
              <w:t>215</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部署全县精神文明创建工作，组织指导全县群众性精神文明创建活动。</w:t>
            </w:r>
          </w:p>
        </w:tc>
        <w:tc>
          <w:tcPr>
            <w:tcW w:w="2976" w:type="dxa"/>
            <w:vMerge w:val="restart"/>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县城乡文明程度显著提升，和谐向善的社会风气逐步形成。</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展主题志愿服务活动（次）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组织开展精神文明创建活动（次）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Merge w:val="continue"/>
            <w:vAlign w:val="center"/>
          </w:tcPr>
          <w:p>
            <w:pPr>
              <w:spacing w:line="300" w:lineRule="exact"/>
              <w:jc w:val="left"/>
              <w:rPr>
                <w:rFonts w:ascii="方正书宋_GBK" w:hAnsi="Times New Roman" w:eastAsia="方正书宋_GBK"/>
                <w:b/>
                <w:sz w:val="18"/>
                <w:szCs w:val="18"/>
              </w:rPr>
            </w:pPr>
          </w:p>
        </w:tc>
        <w:tc>
          <w:tcPr>
            <w:tcW w:w="12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2976" w:type="dxa"/>
            <w:vMerge w:val="continue"/>
            <w:vAlign w:val="center"/>
          </w:tcPr>
          <w:p>
            <w:pPr>
              <w:spacing w:line="300" w:lineRule="exact"/>
              <w:jc w:val="left"/>
              <w:rPr>
                <w:rFonts w:ascii="方正书宋_GBK" w:hAnsi="Times New Roman" w:eastAsia="方正书宋_GBK"/>
                <w:sz w:val="18"/>
                <w:szCs w:val="18"/>
              </w:rPr>
            </w:pP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通过开展</w:t>
            </w:r>
            <w:r>
              <w:rPr>
                <w:rFonts w:ascii="方正书宋_GBK" w:eastAsia="方正书宋_GBK"/>
              </w:rPr>
              <w:t>"</w:t>
            </w:r>
            <w:r>
              <w:rPr>
                <w:rFonts w:hint="eastAsia" w:ascii="方正书宋_GBK" w:eastAsia="方正书宋_GBK"/>
              </w:rPr>
              <w:t>身过好人</w:t>
            </w:r>
            <w:r>
              <w:rPr>
                <w:rFonts w:ascii="方正书宋_GBK" w:eastAsia="方正书宋_GBK"/>
              </w:rPr>
              <w:t>"</w:t>
            </w:r>
            <w:r>
              <w:rPr>
                <w:rFonts w:hint="eastAsia" w:ascii="方正书宋_GBK" w:eastAsia="方正书宋_GBK"/>
              </w:rPr>
              <w:t>评选交流等活动，提升社会风气、公民素质及文化生活质量水平</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Align w:val="center"/>
          </w:tcPr>
          <w:p>
            <w:pPr>
              <w:spacing w:line="300" w:lineRule="exact"/>
              <w:jc w:val="left"/>
              <w:rPr>
                <w:rFonts w:ascii="方正书宋_GBK" w:eastAsia="方正书宋_GBK"/>
                <w:b/>
              </w:rPr>
            </w:pPr>
            <w:r>
              <w:rPr>
                <w:rFonts w:hint="eastAsia" w:ascii="方正书宋_GBK" w:eastAsia="方正书宋_GBK"/>
                <w:b/>
              </w:rPr>
              <w:t>推动文化发展</w:t>
            </w:r>
          </w:p>
        </w:tc>
        <w:tc>
          <w:tcPr>
            <w:tcW w:w="1276" w:type="dxa"/>
            <w:vAlign w:val="center"/>
          </w:tcPr>
          <w:p>
            <w:pPr>
              <w:spacing w:line="300" w:lineRule="exact"/>
              <w:jc w:val="left"/>
              <w:rPr>
                <w:rFonts w:ascii="方正书宋_GBK" w:eastAsia="方正书宋_GBK"/>
              </w:rPr>
            </w:pPr>
            <w:r>
              <w:rPr>
                <w:rFonts w:ascii="方正书宋_GBK" w:eastAsia="方正书宋_GBK"/>
              </w:rPr>
              <w:t>205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深化文化体制改革，构建现代公共文化服务体系；加强精神文化产品创作生产。</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进一步解放和发展文化生产力，推动全县文化事业和文化产业健康发展。</w:t>
            </w:r>
          </w:p>
        </w:tc>
        <w:tc>
          <w:tcPr>
            <w:tcW w:w="1417" w:type="dxa"/>
            <w:vAlign w:val="center"/>
          </w:tcPr>
          <w:p>
            <w:pPr>
              <w:spacing w:line="300" w:lineRule="exact"/>
              <w:jc w:val="left"/>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2430" w:type="dxa"/>
            <w:vAlign w:val="center"/>
          </w:tcPr>
          <w:p>
            <w:pPr>
              <w:spacing w:line="300" w:lineRule="exact"/>
              <w:jc w:val="center"/>
              <w:rPr>
                <w:rFonts w:ascii="Times New Roman"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Align w:val="center"/>
          </w:tcPr>
          <w:p>
            <w:pPr>
              <w:spacing w:line="300" w:lineRule="exact"/>
              <w:jc w:val="left"/>
              <w:rPr>
                <w:rFonts w:ascii="方正书宋_GBK" w:eastAsia="方正书宋_GBK"/>
                <w:b/>
              </w:rPr>
            </w:pPr>
            <w:r>
              <w:rPr>
                <w:rFonts w:hint="eastAsia" w:ascii="方正书宋_GBK" w:eastAsia="方正书宋_GBK"/>
                <w:b/>
              </w:rPr>
              <w:t>文化艺术发展</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研究全县文化艺术发展的指导方针，构建现代公共文化服务体系，加强精神文化产品创作生产，传承和保护优秀传统文化，推动文化艺术健康发展。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推动全县文化艺术健康发展。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组织系列文化活动数量</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Align w:val="center"/>
          </w:tcPr>
          <w:p>
            <w:pPr>
              <w:spacing w:line="300" w:lineRule="exact"/>
              <w:jc w:val="left"/>
              <w:rPr>
                <w:rFonts w:ascii="方正书宋_GBK" w:eastAsia="方正书宋_GBK"/>
                <w:b/>
              </w:rPr>
            </w:pPr>
            <w:r>
              <w:rPr>
                <w:rFonts w:hint="eastAsia" w:ascii="方正书宋_GBK" w:eastAsia="方正书宋_GBK"/>
                <w:b/>
              </w:rPr>
              <w:t>宣传事务管理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153.53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2430"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53" w:type="dxa"/>
            <w:vAlign w:val="center"/>
          </w:tcPr>
          <w:p>
            <w:pPr>
              <w:spacing w:line="300" w:lineRule="exact"/>
              <w:jc w:val="left"/>
              <w:rPr>
                <w:rFonts w:ascii="方正书宋_GBK" w:eastAsia="方正书宋_GBK"/>
                <w:b/>
              </w:rPr>
            </w:pPr>
            <w:r>
              <w:rPr>
                <w:rFonts w:hint="eastAsia" w:ascii="方正书宋_GBK" w:eastAsia="方正书宋_GBK"/>
                <w:b/>
              </w:rPr>
              <w:t>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153.53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开展宣传文化业务管理，加强政策业务宣传等。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重点工作督察督办数</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2430" w:type="dxa"/>
            <w:vAlign w:val="center"/>
          </w:tcPr>
          <w:p>
            <w:pPr>
              <w:spacing w:line="300" w:lineRule="exact"/>
              <w:jc w:val="center"/>
              <w:rPr>
                <w:rFonts w:ascii="方正书宋_GBK" w:eastAsia="方正书宋_GBK"/>
              </w:rPr>
            </w:pPr>
            <w:r>
              <w:rPr>
                <w:rFonts w:ascii="方正书宋_GBK" w:eastAsia="方正书宋_GBK"/>
              </w:rPr>
              <w:t>70%</w:t>
            </w:r>
          </w:p>
        </w:tc>
      </w:tr>
    </w:tbl>
    <w:p>
      <w:pPr>
        <w:autoSpaceDE w:val="0"/>
        <w:autoSpaceDN w:val="0"/>
        <w:adjustRightInd w:val="0"/>
        <w:ind w:left="200"/>
        <w:jc w:val="left"/>
        <w:rPr>
          <w:rFonts w:ascii="宋体" w:cs="宋体"/>
          <w:kern w:val="0"/>
          <w:sz w:val="18"/>
          <w:szCs w:val="18"/>
          <w:lang w:val="zh-CN"/>
        </w:rPr>
      </w:pPr>
    </w:p>
    <w:p>
      <w:pPr>
        <w:ind w:firstLine="640"/>
        <w:rPr>
          <w:rFonts w:ascii="黑体" w:hAnsi="黑体" w:eastAsia="黑体"/>
          <w:sz w:val="32"/>
          <w:szCs w:val="32"/>
        </w:rPr>
      </w:pPr>
      <w:r>
        <w:rPr>
          <w:rFonts w:hint="eastAsia" w:ascii="黑体" w:hAnsi="黑体" w:eastAsia="黑体"/>
          <w:sz w:val="32"/>
          <w:szCs w:val="32"/>
        </w:rPr>
        <w:t>六、政府采购预算情况</w:t>
      </w:r>
    </w:p>
    <w:p>
      <w:pPr>
        <w:autoSpaceDE w:val="0"/>
        <w:autoSpaceDN w:val="0"/>
        <w:adjustRightInd w:val="0"/>
        <w:jc w:val="left"/>
        <w:rPr>
          <w:rFonts w:ascii="黑体" w:hAnsi="黑体" w:eastAsia="黑体"/>
          <w:sz w:val="32"/>
          <w:szCs w:val="32"/>
        </w:rPr>
      </w:pPr>
      <w:bookmarkStart w:id="1" w:name="_Toc471398468"/>
      <w:r>
        <w:rPr>
          <w:rFonts w:ascii="仿宋" w:hAnsi="仿宋" w:eastAsia="仿宋"/>
          <w:sz w:val="32"/>
          <w:szCs w:val="24"/>
        </w:rPr>
        <w:t xml:space="preserve"> 2017</w:t>
      </w:r>
      <w:r>
        <w:rPr>
          <w:rFonts w:hint="eastAsia" w:ascii="仿宋" w:hAnsi="仿宋" w:eastAsia="仿宋"/>
          <w:sz w:val="32"/>
          <w:szCs w:val="24"/>
        </w:rPr>
        <w:t>年，我单位未安排政府采购预算。</w:t>
      </w:r>
      <w:bookmarkEnd w:id="1"/>
    </w:p>
    <w:p>
      <w:pPr>
        <w:ind w:firstLine="640"/>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rPr>
          <w:rFonts w:ascii="仿宋" w:hAnsi="仿宋" w:eastAsia="仿宋"/>
          <w:sz w:val="32"/>
          <w:szCs w:val="32"/>
        </w:rPr>
      </w:pPr>
      <w:r>
        <w:rPr>
          <w:rFonts w:hint="eastAsia" w:ascii="仿宋" w:hAnsi="仿宋" w:eastAsia="仿宋"/>
          <w:sz w:val="32"/>
          <w:szCs w:val="32"/>
        </w:rPr>
        <w:t>廊坊市大厂回族自治县委宣传部上年末固定资产金额为</w:t>
      </w:r>
      <w:r>
        <w:rPr>
          <w:rFonts w:ascii="仿宋" w:hAnsi="仿宋" w:eastAsia="仿宋"/>
          <w:sz w:val="32"/>
          <w:szCs w:val="32"/>
        </w:rPr>
        <w:t>335.1</w:t>
      </w:r>
      <w:r>
        <w:rPr>
          <w:rFonts w:hint="eastAsia" w:ascii="仿宋" w:hAnsi="仿宋" w:eastAsia="仿宋"/>
          <w:sz w:val="32"/>
          <w:szCs w:val="32"/>
        </w:rPr>
        <w:t>万元，本年度预算安排无固定资产购置项。详见下表：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河北省固定资产占用情况表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w:t>
            </w:r>
            <w:r>
              <w:rPr>
                <w:rFonts w:hint="eastAsia" w:ascii="宋体" w:hAnsi="宋体" w:cs="宋体"/>
                <w:sz w:val="18"/>
                <w:szCs w:val="18"/>
              </w:rPr>
              <w:t>廊坊市中共大厂回族自治县委宣传部</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335.1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25.62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151</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309</w:t>
            </w:r>
            <w:r>
              <w:rPr>
                <w:rFonts w:hint="eastAsia" w:ascii="宋体" w:cs="宋体"/>
                <w:kern w:val="0"/>
                <w:sz w:val="22"/>
              </w:rPr>
              <w:t>．</w:t>
            </w:r>
            <w:r>
              <w:rPr>
                <w:rFonts w:ascii="宋体" w:cs="宋体"/>
                <w:kern w:val="0"/>
                <w:sz w:val="22"/>
              </w:rPr>
              <w:t>48</w:t>
            </w:r>
          </w:p>
        </w:tc>
      </w:tr>
    </w:tbl>
    <w:p>
      <w:pPr>
        <w:ind w:firstLine="640"/>
        <w:rPr>
          <w:rFonts w:ascii="黑体" w:hAnsi="黑体" w:eastAsia="黑体"/>
          <w:sz w:val="32"/>
          <w:szCs w:val="32"/>
        </w:rPr>
      </w:pPr>
      <w:r>
        <w:rPr>
          <w:rFonts w:hint="eastAsia" w:ascii="黑体" w:hAnsi="黑体" w:eastAsia="黑体"/>
          <w:sz w:val="32"/>
          <w:szCs w:val="32"/>
        </w:rPr>
        <w:t>八、名词解释</w:t>
      </w:r>
    </w:p>
    <w:p>
      <w:pPr>
        <w:pStyle w:val="13"/>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b/>
          <w:bCs/>
          <w:sz w:val="32"/>
          <w:szCs w:val="32"/>
        </w:rPr>
      </w:pPr>
      <w:r>
        <w:rPr>
          <w:rFonts w:hint="eastAsia"/>
          <w:b/>
          <w:bCs/>
          <w:sz w:val="32"/>
          <w:szCs w:val="32"/>
        </w:rPr>
        <w:t xml:space="preserve"> </w:t>
      </w:r>
      <w:r>
        <w:rPr>
          <w:rFonts w:hint="eastAsia"/>
          <w:b/>
          <w:bCs/>
          <w:sz w:val="32"/>
          <w:szCs w:val="32"/>
          <w:lang w:val="en-US" w:eastAsia="zh-CN"/>
        </w:rPr>
        <w:t xml:space="preserve">   </w:t>
      </w:r>
      <w:r>
        <w:rPr>
          <w:rFonts w:hint="default" w:ascii="Times New Roman" w:hAnsi="Times New Roman" w:eastAsia="仿宋" w:cs="Times New Roman"/>
          <w:b/>
          <w:bCs/>
          <w:sz w:val="32"/>
          <w:szCs w:val="32"/>
        </w:rPr>
        <w:t>1</w:t>
      </w:r>
      <w:r>
        <w:rPr>
          <w:rFonts w:hint="default" w:ascii="Times New Roman" w:hAnsi="Times New Roman" w:eastAsia="仿宋" w:cs="Times New Roman"/>
          <w:sz w:val="32"/>
          <w:szCs w:val="32"/>
        </w:rPr>
        <w:t>、一般公共预算拨款收入：指县级财政当年拨付的资金。</w:t>
      </w:r>
    </w:p>
    <w:p>
      <w:pPr>
        <w:pStyle w:val="13"/>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    2</w:t>
      </w:r>
      <w:r>
        <w:rPr>
          <w:rFonts w:hint="default" w:ascii="Times New Roman" w:hAnsi="Times New Roman" w:eastAsia="仿宋" w:cs="Times New Roman"/>
          <w:sz w:val="32"/>
          <w:szCs w:val="32"/>
        </w:rPr>
        <w:t>、事业收入：指事业单位开展专业业务活动及辅助活动所取得的收入。</w:t>
      </w:r>
    </w:p>
    <w:p>
      <w:pPr>
        <w:pStyle w:val="13"/>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    3</w:t>
      </w:r>
      <w:r>
        <w:rPr>
          <w:rFonts w:hint="default" w:ascii="Times New Roman" w:hAnsi="Times New Roman" w:eastAsia="仿宋" w:cs="Times New Roman"/>
          <w:sz w:val="32"/>
          <w:szCs w:val="32"/>
        </w:rPr>
        <w:t>、其他收入：指除上述“财政拨款收入”、“事业收入”等以外的收入。主要是按规定动用的租房收入、存款利息收入等。</w:t>
      </w:r>
    </w:p>
    <w:p>
      <w:pPr>
        <w:pStyle w:val="13"/>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    4</w:t>
      </w:r>
      <w:r>
        <w:rPr>
          <w:rFonts w:hint="default" w:ascii="Times New Roman" w:hAnsi="Times New Roman" w:eastAsia="仿宋" w:cs="Times New Roman"/>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    5</w:t>
      </w:r>
      <w:r>
        <w:rPr>
          <w:rFonts w:hint="default" w:ascii="Times New Roman" w:hAnsi="Times New Roman" w:eastAsia="仿宋" w:cs="Times New Roman"/>
          <w:sz w:val="32"/>
          <w:szCs w:val="32"/>
        </w:rPr>
        <w:t>、项目支出：指在基本支出之外为完成特定行政任务和事业发展目标所发生的支出。</w:t>
      </w:r>
    </w:p>
    <w:p>
      <w:pPr>
        <w:pStyle w:val="13"/>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    6</w:t>
      </w:r>
      <w:r>
        <w:rPr>
          <w:rFonts w:hint="default" w:ascii="Times New Roman" w:hAnsi="Times New Roman" w:eastAsia="仿宋" w:cs="Times New Roman"/>
          <w:sz w:val="32"/>
          <w:szCs w:val="32"/>
        </w:rPr>
        <w:t>、上缴上级支出：指下级单位上缴上级的支出。</w:t>
      </w:r>
    </w:p>
    <w:p>
      <w:pPr>
        <w:pStyle w:val="13"/>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    7</w:t>
      </w:r>
      <w:r>
        <w:rPr>
          <w:rFonts w:hint="default" w:ascii="Times New Roman" w:hAnsi="Times New Roman" w:eastAsia="仿宋" w:cs="Times New Roman"/>
          <w:sz w:val="32"/>
          <w:szCs w:val="32"/>
        </w:rPr>
        <w:t>、</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rPr>
        <w:t>三公</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rPr>
        <w:t>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bidi w:val="0"/>
        <w:snapToGrid/>
        <w:spacing w:line="560" w:lineRule="exact"/>
        <w:ind w:left="0" w:leftChars="0" w:right="0" w:rightChars="0" w:firstLine="0" w:firstLineChars="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    8</w:t>
      </w:r>
      <w:r>
        <w:rPr>
          <w:rFonts w:hint="default" w:ascii="Times New Roman" w:hAnsi="Times New Roman" w:eastAsia="仿宋" w:cs="Times New Roman"/>
          <w:sz w:val="32"/>
          <w:szCs w:val="32"/>
        </w:rPr>
        <w:t>、机关运行费：为保障行政单位（包括参照公务员法管理的事业单位）运行用于购买货物和服务</w:t>
      </w:r>
      <w:bookmarkStart w:id="2" w:name="_GoBack"/>
      <w:r>
        <w:rPr>
          <w:rFonts w:hint="default" w:ascii="Times New Roman" w:hAnsi="Times New Roman" w:eastAsia="仿宋" w:cs="Times New Roman"/>
          <w:sz w:val="32"/>
          <w:szCs w:val="32"/>
        </w:rPr>
        <w:t>的各项资金，包括办公及印</w:t>
      </w:r>
      <w:bookmarkEnd w:id="2"/>
      <w:r>
        <w:rPr>
          <w:rFonts w:hint="default" w:ascii="Times New Roman" w:hAnsi="Times New Roman" w:eastAsia="仿宋" w:cs="Times New Roman"/>
          <w:sz w:val="32"/>
          <w:szCs w:val="32"/>
        </w:rPr>
        <w:t>刷费、邮电费、差旅费、会议费、福利费、日常维修费、专用材料及一般设备购置费、办公用房水电费、办公用房取暖费、办公用房物业管理费、公务用车运行维护费以及其他费用。</w:t>
      </w:r>
    </w:p>
    <w:p>
      <w:pPr>
        <w:ind w:firstLine="640"/>
        <w:rPr>
          <w:rFonts w:ascii="黑体" w:hAnsi="黑体" w:eastAsia="黑体"/>
          <w:sz w:val="32"/>
          <w:szCs w:val="32"/>
        </w:rPr>
      </w:pPr>
      <w:r>
        <w:rPr>
          <w:rFonts w:hint="eastAsia" w:ascii="黑体" w:hAnsi="黑体" w:eastAsia="黑体"/>
          <w:sz w:val="32"/>
          <w:szCs w:val="32"/>
        </w:rPr>
        <w:t>九、其它需要说明的事项</w:t>
      </w:r>
    </w:p>
    <w:p>
      <w:pPr>
        <w:spacing w:line="560" w:lineRule="exact"/>
        <w:ind w:firstLine="640"/>
        <w:rPr>
          <w:rFonts w:ascii="仿宋" w:hAnsi="仿宋" w:eastAsia="仿宋"/>
          <w:sz w:val="32"/>
          <w:szCs w:val="32"/>
        </w:rPr>
      </w:pPr>
      <w:r>
        <w:rPr>
          <w:rFonts w:hint="eastAsia" w:ascii="仿宋" w:hAnsi="仿宋" w:eastAsia="仿宋"/>
          <w:sz w:val="32"/>
          <w:szCs w:val="32"/>
        </w:rPr>
        <w:t>我单位不涉及政府性基金支出，因此政府性基金预算支出表没有数据；我单位不涉及国有资本经营支出，因此国有资本经营预算财政拨款支出表没有数据。</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FZFangSong-Z02">
    <w:altName w:val="Arial"/>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11617"/>
    <w:rsid w:val="00037AF6"/>
    <w:rsid w:val="00042EAE"/>
    <w:rsid w:val="00045A61"/>
    <w:rsid w:val="000542B0"/>
    <w:rsid w:val="00064A92"/>
    <w:rsid w:val="00075D5F"/>
    <w:rsid w:val="00083F11"/>
    <w:rsid w:val="000B1948"/>
    <w:rsid w:val="000C3A19"/>
    <w:rsid w:val="00103E59"/>
    <w:rsid w:val="001245BB"/>
    <w:rsid w:val="001557A6"/>
    <w:rsid w:val="0018479D"/>
    <w:rsid w:val="001C11CF"/>
    <w:rsid w:val="001D4CFC"/>
    <w:rsid w:val="001E2733"/>
    <w:rsid w:val="0023436F"/>
    <w:rsid w:val="002372C7"/>
    <w:rsid w:val="00241FD4"/>
    <w:rsid w:val="00251B12"/>
    <w:rsid w:val="00255A46"/>
    <w:rsid w:val="00257F2F"/>
    <w:rsid w:val="002645FB"/>
    <w:rsid w:val="00296113"/>
    <w:rsid w:val="002B1EBC"/>
    <w:rsid w:val="002E18CB"/>
    <w:rsid w:val="002F3E58"/>
    <w:rsid w:val="0030542C"/>
    <w:rsid w:val="00311B7A"/>
    <w:rsid w:val="00363B5C"/>
    <w:rsid w:val="003B4935"/>
    <w:rsid w:val="003E0365"/>
    <w:rsid w:val="003E1A7F"/>
    <w:rsid w:val="0042799D"/>
    <w:rsid w:val="004454EC"/>
    <w:rsid w:val="00451871"/>
    <w:rsid w:val="004561E5"/>
    <w:rsid w:val="00460A52"/>
    <w:rsid w:val="00462614"/>
    <w:rsid w:val="00466EE2"/>
    <w:rsid w:val="00472923"/>
    <w:rsid w:val="004736DC"/>
    <w:rsid w:val="00482AAA"/>
    <w:rsid w:val="004C1B12"/>
    <w:rsid w:val="004E3066"/>
    <w:rsid w:val="004E74CD"/>
    <w:rsid w:val="00560A19"/>
    <w:rsid w:val="00573562"/>
    <w:rsid w:val="005B0BDF"/>
    <w:rsid w:val="005C6953"/>
    <w:rsid w:val="005E0BEB"/>
    <w:rsid w:val="00614A29"/>
    <w:rsid w:val="00637187"/>
    <w:rsid w:val="00645B41"/>
    <w:rsid w:val="00674F73"/>
    <w:rsid w:val="006C1D5B"/>
    <w:rsid w:val="006C43EC"/>
    <w:rsid w:val="006F11E1"/>
    <w:rsid w:val="00712664"/>
    <w:rsid w:val="0071546F"/>
    <w:rsid w:val="007429E1"/>
    <w:rsid w:val="00747D9E"/>
    <w:rsid w:val="0075380D"/>
    <w:rsid w:val="0075393C"/>
    <w:rsid w:val="00765DBD"/>
    <w:rsid w:val="00776C08"/>
    <w:rsid w:val="00780520"/>
    <w:rsid w:val="007808FB"/>
    <w:rsid w:val="00797B07"/>
    <w:rsid w:val="007A45B6"/>
    <w:rsid w:val="007B4EE0"/>
    <w:rsid w:val="007E1DA8"/>
    <w:rsid w:val="007E3329"/>
    <w:rsid w:val="007F2AD5"/>
    <w:rsid w:val="007F6C26"/>
    <w:rsid w:val="008334AE"/>
    <w:rsid w:val="00836FED"/>
    <w:rsid w:val="00845CD2"/>
    <w:rsid w:val="008502D8"/>
    <w:rsid w:val="00852B0D"/>
    <w:rsid w:val="00853E0F"/>
    <w:rsid w:val="00870799"/>
    <w:rsid w:val="00881692"/>
    <w:rsid w:val="00881BCF"/>
    <w:rsid w:val="008A229D"/>
    <w:rsid w:val="008B3CC5"/>
    <w:rsid w:val="008C2BAF"/>
    <w:rsid w:val="008E4261"/>
    <w:rsid w:val="008E74A1"/>
    <w:rsid w:val="008F0142"/>
    <w:rsid w:val="008F4662"/>
    <w:rsid w:val="008F7B6D"/>
    <w:rsid w:val="00905D08"/>
    <w:rsid w:val="00925753"/>
    <w:rsid w:val="00932149"/>
    <w:rsid w:val="009479FA"/>
    <w:rsid w:val="0095099F"/>
    <w:rsid w:val="00966C5C"/>
    <w:rsid w:val="009702C6"/>
    <w:rsid w:val="00973104"/>
    <w:rsid w:val="009A0AE5"/>
    <w:rsid w:val="009C4AF8"/>
    <w:rsid w:val="00A12D62"/>
    <w:rsid w:val="00A13DF0"/>
    <w:rsid w:val="00A252B1"/>
    <w:rsid w:val="00A70F29"/>
    <w:rsid w:val="00A72D2E"/>
    <w:rsid w:val="00A8143F"/>
    <w:rsid w:val="00A911E7"/>
    <w:rsid w:val="00A939D9"/>
    <w:rsid w:val="00AD041A"/>
    <w:rsid w:val="00AE7C0C"/>
    <w:rsid w:val="00B20712"/>
    <w:rsid w:val="00B30284"/>
    <w:rsid w:val="00B43238"/>
    <w:rsid w:val="00B62730"/>
    <w:rsid w:val="00B65741"/>
    <w:rsid w:val="00B67B71"/>
    <w:rsid w:val="00B75216"/>
    <w:rsid w:val="00B8191E"/>
    <w:rsid w:val="00B91D52"/>
    <w:rsid w:val="00BA1ACD"/>
    <w:rsid w:val="00BC163D"/>
    <w:rsid w:val="00BD0641"/>
    <w:rsid w:val="00BE307A"/>
    <w:rsid w:val="00BE736A"/>
    <w:rsid w:val="00C0331B"/>
    <w:rsid w:val="00C3763B"/>
    <w:rsid w:val="00C83FCB"/>
    <w:rsid w:val="00CA7176"/>
    <w:rsid w:val="00CC18D3"/>
    <w:rsid w:val="00CD06DB"/>
    <w:rsid w:val="00CD2773"/>
    <w:rsid w:val="00CE143B"/>
    <w:rsid w:val="00D27A25"/>
    <w:rsid w:val="00D61FFF"/>
    <w:rsid w:val="00D848B7"/>
    <w:rsid w:val="00DC5C97"/>
    <w:rsid w:val="00DD5C15"/>
    <w:rsid w:val="00E007A0"/>
    <w:rsid w:val="00E1641A"/>
    <w:rsid w:val="00E167C7"/>
    <w:rsid w:val="00E26841"/>
    <w:rsid w:val="00E8015E"/>
    <w:rsid w:val="00E93AD5"/>
    <w:rsid w:val="00E941B1"/>
    <w:rsid w:val="00E95932"/>
    <w:rsid w:val="00EC47F6"/>
    <w:rsid w:val="00EE1B43"/>
    <w:rsid w:val="00EE1F26"/>
    <w:rsid w:val="00F153EF"/>
    <w:rsid w:val="00F410ED"/>
    <w:rsid w:val="00F50BDE"/>
    <w:rsid w:val="00F63B38"/>
    <w:rsid w:val="00F66032"/>
    <w:rsid w:val="00F73E1E"/>
    <w:rsid w:val="00F958C2"/>
    <w:rsid w:val="00FD6052"/>
    <w:rsid w:val="00FF5146"/>
    <w:rsid w:val="04001AF1"/>
    <w:rsid w:val="23B35244"/>
    <w:rsid w:val="366066B6"/>
    <w:rsid w:val="37450C51"/>
    <w:rsid w:val="39AF66CC"/>
    <w:rsid w:val="42A30DD2"/>
    <w:rsid w:val="46F31F46"/>
    <w:rsid w:val="4E1E1689"/>
    <w:rsid w:val="6292509C"/>
    <w:rsid w:val="6B340FC2"/>
    <w:rsid w:val="74243C89"/>
    <w:rsid w:val="7EA97776"/>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99"/>
    <w:rPr>
      <w:rFonts w:ascii="宋体" w:hAnsi="Courier New"/>
      <w:szCs w:val="21"/>
    </w:rPr>
  </w:style>
  <w:style w:type="paragraph" w:styleId="3">
    <w:name w:val="footer"/>
    <w:basedOn w:val="1"/>
    <w:link w:val="10"/>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character" w:customStyle="1" w:styleId="9">
    <w:name w:val="页眉 Char"/>
    <w:basedOn w:val="7"/>
    <w:link w:val="4"/>
    <w:qFormat/>
    <w:locked/>
    <w:uiPriority w:val="99"/>
    <w:rPr>
      <w:rFonts w:ascii="Times New Roman" w:hAnsi="Times New Roman" w:eastAsia="宋体" w:cs="Times New Roman"/>
      <w:sz w:val="18"/>
      <w:szCs w:val="18"/>
    </w:rPr>
  </w:style>
  <w:style w:type="character" w:customStyle="1" w:styleId="10">
    <w:name w:val="页脚 Char"/>
    <w:basedOn w:val="7"/>
    <w:link w:val="3"/>
    <w:qFormat/>
    <w:locked/>
    <w:uiPriority w:val="99"/>
    <w:rPr>
      <w:rFonts w:ascii="Times New Roman" w:hAnsi="Times New Roman" w:eastAsia="宋体" w:cs="Times New Roman"/>
      <w:sz w:val="18"/>
      <w:szCs w:val="18"/>
    </w:rPr>
  </w:style>
  <w:style w:type="character" w:customStyle="1" w:styleId="11">
    <w:name w:val="Plain Text Char1"/>
    <w:qFormat/>
    <w:locked/>
    <w:uiPriority w:val="99"/>
    <w:rPr>
      <w:rFonts w:ascii="宋体" w:hAnsi="Courier New"/>
      <w:kern w:val="2"/>
      <w:sz w:val="21"/>
    </w:rPr>
  </w:style>
  <w:style w:type="character" w:customStyle="1" w:styleId="12">
    <w:name w:val="纯文本 Char"/>
    <w:basedOn w:val="7"/>
    <w:link w:val="2"/>
    <w:semiHidden/>
    <w:qFormat/>
    <w:locked/>
    <w:uiPriority w:val="99"/>
    <w:rPr>
      <w:rFonts w:ascii="宋体" w:hAnsi="Courier New" w:cs="Courier New"/>
      <w:sz w:val="21"/>
      <w:szCs w:val="21"/>
    </w:rPr>
  </w:style>
  <w:style w:type="paragraph" w:customStyle="1" w:styleId="13">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553</Words>
  <Characters>3153</Characters>
  <Lines>26</Lines>
  <Paragraphs>7</Paragraphs>
  <ScaleCrop>false</ScaleCrop>
  <LinksUpToDate>false</LinksUpToDate>
  <CharactersWithSpaces>3699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8822515</cp:lastModifiedBy>
  <dcterms:modified xsi:type="dcterms:W3CDTF">2017-11-10T07:13:12Z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